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sidRPr="008D3EFE">
        <w:rPr>
          <w:rFonts w:ascii="Times New Roman" w:eastAsia="Times New Roman" w:hAnsi="Times New Roman" w:cs="Times New Roman"/>
          <w:color w:val="000000"/>
          <w:sz w:val="22"/>
          <w:szCs w:val="22"/>
        </w:rPr>
        <w:t>В рамках настоящег</w:t>
      </w:r>
      <w:r>
        <w:rPr>
          <w:rFonts w:ascii="Times New Roman" w:eastAsia="Times New Roman" w:hAnsi="Times New Roman" w:cs="Times New Roman"/>
          <w:color w:val="000000"/>
          <w:sz w:val="22"/>
          <w:szCs w:val="22"/>
        </w:rPr>
        <w:t xml:space="preserve">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8D3EFE">
      <w:pPr>
        <w:numPr>
          <w:ilvl w:val="1"/>
          <w:numId w:val="2"/>
        </w:numPr>
        <w:pBdr>
          <w:top w:val="nil"/>
          <w:left w:val="nil"/>
          <w:bottom w:val="nil"/>
          <w:right w:val="nil"/>
          <w:between w:val="nil"/>
        </w:pBdr>
        <w:tabs>
          <w:tab w:val="left" w:pos="0"/>
          <w:tab w:val="left" w:pos="284"/>
        </w:tabs>
        <w:ind w:left="0"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1547F6">
        <w:rPr>
          <w:rFonts w:ascii="Times New Roman" w:eastAsia="Times New Roman" w:hAnsi="Times New Roman" w:cs="Times New Roman"/>
          <w:color w:val="000000"/>
          <w:sz w:val="22"/>
          <w:szCs w:val="22"/>
        </w:rPr>
        <w:t>В</w:t>
      </w:r>
      <w:r>
        <w:rPr>
          <w:rFonts w:ascii="Times New Roman" w:eastAsia="Times New Roman" w:hAnsi="Times New Roman" w:cs="Times New Roman"/>
          <w:color w:val="000000"/>
          <w:sz w:val="22"/>
          <w:szCs w:val="22"/>
        </w:rPr>
        <w:t xml:space="preserve"> случае несогласия с со</w:t>
      </w:r>
      <w:r w:rsidR="00670E35">
        <w:rPr>
          <w:rFonts w:ascii="Times New Roman" w:eastAsia="Times New Roman" w:hAnsi="Times New Roman" w:cs="Times New Roman"/>
          <w:color w:val="000000"/>
          <w:sz w:val="22"/>
          <w:szCs w:val="22"/>
        </w:rPr>
        <w:t>держанием акта оказанных услуг</w:t>
      </w:r>
      <w:r>
        <w:rPr>
          <w:rFonts w:ascii="Times New Roman" w:eastAsia="Times New Roman" w:hAnsi="Times New Roman" w:cs="Times New Roman"/>
          <w:color w:val="000000"/>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w:t>
      </w:r>
      <w:bookmarkStart w:id="3" w:name="_GoBack"/>
      <w:bookmarkEnd w:id="3"/>
      <w:r>
        <w:rPr>
          <w:rFonts w:ascii="Times New Roman" w:eastAsia="Times New Roman" w:hAnsi="Times New Roman" w:cs="Times New Roman"/>
          <w:color w:val="000000"/>
          <w:sz w:val="22"/>
          <w:szCs w:val="22"/>
        </w:rPr>
        <w:t xml:space="preserve">льному оператору в течение 3 (трёх) рабочих дней со дня получения акта </w:t>
      </w:r>
      <w:r w:rsidR="00670E35">
        <w:rPr>
          <w:rFonts w:ascii="Times New Roman" w:eastAsia="Times New Roman" w:hAnsi="Times New Roman" w:cs="Times New Roman"/>
          <w:color w:val="000000"/>
          <w:sz w:val="22"/>
          <w:szCs w:val="22"/>
        </w:rPr>
        <w:t>оказанных услуг</w:t>
      </w:r>
      <w:r>
        <w:rPr>
          <w:rFonts w:ascii="Times New Roman" w:eastAsia="Times New Roman" w:hAnsi="Times New Roman" w:cs="Times New Roman"/>
          <w:color w:val="000000"/>
          <w:sz w:val="22"/>
          <w:szCs w:val="22"/>
        </w:rPr>
        <w:t>.</w:t>
      </w:r>
    </w:p>
    <w:p w:rsidR="00E94034" w:rsidRPr="0040549B" w:rsidRDefault="00354FBF" w:rsidP="00292B9D">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highlight w:val="yellow"/>
        </w:rPr>
      </w:pPr>
      <w:r w:rsidRPr="001547F6">
        <w:rPr>
          <w:rFonts w:ascii="Times New Roman" w:eastAsia="Times New Roman" w:hAnsi="Times New Roman" w:cs="Times New Roman"/>
          <w:color w:val="000000"/>
          <w:sz w:val="22"/>
          <w:szCs w:val="22"/>
        </w:rPr>
        <w:t>В</w:t>
      </w:r>
      <w:r>
        <w:rPr>
          <w:rFonts w:ascii="Times New Roman" w:eastAsia="Times New Roman" w:hAnsi="Times New Roman" w:cs="Times New Roman"/>
          <w:color w:val="000000"/>
          <w:sz w:val="22"/>
          <w:szCs w:val="22"/>
        </w:rPr>
        <w:t xml:space="preserve"> случае неполучения в течение 10 (десяти) рабочих дней со дня направлени</w:t>
      </w:r>
      <w:r w:rsidR="00670E35">
        <w:rPr>
          <w:rFonts w:ascii="Times New Roman" w:eastAsia="Times New Roman" w:hAnsi="Times New Roman" w:cs="Times New Roman"/>
          <w:color w:val="000000"/>
          <w:sz w:val="22"/>
          <w:szCs w:val="22"/>
        </w:rPr>
        <w:t>я стороне акта оказанных услуг</w:t>
      </w:r>
      <w:r>
        <w:rPr>
          <w:rFonts w:ascii="Times New Roman" w:eastAsia="Times New Roman" w:hAnsi="Times New Roman" w:cs="Times New Roman"/>
          <w:color w:val="000000"/>
          <w:sz w:val="22"/>
          <w:szCs w:val="22"/>
        </w:rPr>
        <w:t xml:space="preserve">, направленный акт </w:t>
      </w:r>
      <w:r w:rsidR="00670E35">
        <w:rPr>
          <w:rFonts w:ascii="Times New Roman" w:eastAsia="Times New Roman" w:hAnsi="Times New Roman" w:cs="Times New Roman"/>
          <w:color w:val="000000"/>
          <w:sz w:val="22"/>
          <w:szCs w:val="22"/>
        </w:rPr>
        <w:t>оказанных услуг</w:t>
      </w:r>
      <w:r>
        <w:rPr>
          <w:rFonts w:ascii="Times New Roman" w:eastAsia="Times New Roman" w:hAnsi="Times New Roman" w:cs="Times New Roman"/>
          <w:color w:val="000000"/>
          <w:sz w:val="22"/>
          <w:szCs w:val="22"/>
        </w:rPr>
        <w:t xml:space="preserve"> считается согласованным и подписанным обеими сторонами.</w:t>
      </w:r>
      <w:r w:rsidR="00292B9D">
        <w:rPr>
          <w:rFonts w:ascii="Times New Roman" w:eastAsia="Times New Roman" w:hAnsi="Times New Roman" w:cs="Times New Roman"/>
          <w:color w:val="000000"/>
          <w:sz w:val="22"/>
          <w:szCs w:val="22"/>
        </w:rPr>
        <w:t xml:space="preserve"> </w:t>
      </w:r>
      <w:r w:rsidR="00292B9D" w:rsidRPr="008D3EFE">
        <w:rPr>
          <w:rFonts w:ascii="Times New Roman" w:eastAsia="Times New Roman" w:hAnsi="Times New Roman" w:cs="Times New Roman"/>
          <w:color w:val="000000"/>
          <w:sz w:val="22"/>
          <w:szCs w:val="22"/>
        </w:rPr>
        <w:t>При наличии электронной цифровой подписи у Потребителя</w:t>
      </w:r>
      <w:r w:rsidR="0040549B" w:rsidRPr="008D3EFE">
        <w:rPr>
          <w:rFonts w:ascii="Times New Roman" w:eastAsia="Times New Roman" w:hAnsi="Times New Roman" w:cs="Times New Roman"/>
          <w:color w:val="000000"/>
          <w:sz w:val="22"/>
          <w:szCs w:val="22"/>
        </w:rPr>
        <w:t xml:space="preserve"> и Регионального оператора</w:t>
      </w:r>
      <w:r w:rsidR="00292B9D" w:rsidRPr="008D3EFE">
        <w:rPr>
          <w:rFonts w:ascii="Times New Roman" w:eastAsia="Times New Roman" w:hAnsi="Times New Roman" w:cs="Times New Roman"/>
          <w:color w:val="000000"/>
          <w:sz w:val="22"/>
          <w:szCs w:val="22"/>
        </w:rPr>
        <w:t xml:space="preserve"> одного удостове</w:t>
      </w:r>
      <w:r w:rsidR="0040549B" w:rsidRPr="008D3EFE">
        <w:rPr>
          <w:rFonts w:ascii="Times New Roman" w:eastAsia="Times New Roman" w:hAnsi="Times New Roman" w:cs="Times New Roman"/>
          <w:color w:val="000000"/>
          <w:sz w:val="22"/>
          <w:szCs w:val="22"/>
        </w:rPr>
        <w:t>ряющего центра, стороны</w:t>
      </w:r>
      <w:r w:rsidR="00292B9D" w:rsidRPr="008D3EFE">
        <w:rPr>
          <w:rFonts w:ascii="Times New Roman" w:eastAsia="Times New Roman" w:hAnsi="Times New Roman" w:cs="Times New Roman"/>
          <w:color w:val="000000"/>
          <w:sz w:val="22"/>
          <w:szCs w:val="22"/>
        </w:rPr>
        <w:t xml:space="preserve"> имеют право обмениваться первичными документами с применением электронной подписи.</w:t>
      </w:r>
    </w:p>
    <w:p w:rsidR="006B0288" w:rsidRPr="006B0288" w:rsidRDefault="006B0288" w:rsidP="006B0288">
      <w:pPr>
        <w:pStyle w:val="ae"/>
        <w:numPr>
          <w:ilvl w:val="1"/>
          <w:numId w:val="2"/>
        </w:numPr>
        <w:spacing w:line="276" w:lineRule="auto"/>
        <w:ind w:left="0" w:firstLine="709"/>
        <w:jc w:val="both"/>
        <w:rPr>
          <w:rFonts w:ascii="Times New Roman" w:hAnsi="Times New Roman" w:cs="Times New Roman"/>
          <w:sz w:val="22"/>
          <w:szCs w:val="22"/>
        </w:rPr>
      </w:pPr>
      <w:r w:rsidRPr="006B0288">
        <w:rPr>
          <w:rFonts w:ascii="Times New Roman" w:hAnsi="Times New Roman" w:cs="Times New Roman"/>
          <w:sz w:val="22"/>
          <w:szCs w:val="22"/>
        </w:rPr>
        <w:t xml:space="preserve">Региональный оператор вправе без распоряжения Потребителя – владельца счета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номер счета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открытого в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наименование, адрес, реквизиты банка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B0288" w:rsidRPr="006B0288" w:rsidRDefault="006B0288" w:rsidP="006B0288">
      <w:pPr>
        <w:spacing w:line="276" w:lineRule="auto"/>
        <w:ind w:firstLine="709"/>
        <w:contextualSpacing/>
        <w:jc w:val="both"/>
        <w:rPr>
          <w:rFonts w:ascii="Times New Roman" w:hAnsi="Times New Roman" w:cs="Times New Roman"/>
          <w:sz w:val="22"/>
          <w:szCs w:val="22"/>
        </w:rPr>
      </w:pPr>
      <w:r w:rsidRPr="006B0288">
        <w:rPr>
          <w:rFonts w:ascii="Times New Roman" w:hAnsi="Times New Roman" w:cs="Times New Roman"/>
          <w:sz w:val="22"/>
          <w:szCs w:val="22"/>
        </w:rPr>
        <w:t xml:space="preserve">Потребитель обязан заключить с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наименование, адрес, реквизиты банка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в котором открыт его расчетный счет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номер счета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дополнительное соглашение к договору о ведении </w:t>
      </w:r>
      <w:r w:rsidRPr="006B0288">
        <w:rPr>
          <w:rFonts w:ascii="Times New Roman" w:hAnsi="Times New Roman" w:cs="Times New Roman"/>
          <w:sz w:val="22"/>
          <w:szCs w:val="22"/>
        </w:rPr>
        <w:lastRenderedPageBreak/>
        <w:t xml:space="preserve">расчетного счета о предоставлении права Региональному оператору на </w:t>
      </w:r>
      <w:proofErr w:type="spellStart"/>
      <w:r w:rsidRPr="006B0288">
        <w:rPr>
          <w:rFonts w:ascii="Times New Roman" w:hAnsi="Times New Roman" w:cs="Times New Roman"/>
          <w:sz w:val="22"/>
          <w:szCs w:val="22"/>
        </w:rPr>
        <w:t>безакцептное</w:t>
      </w:r>
      <w:proofErr w:type="spellEnd"/>
      <w:r w:rsidRPr="006B0288">
        <w:rPr>
          <w:rFonts w:ascii="Times New Roman" w:hAnsi="Times New Roman" w:cs="Times New Roman"/>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 </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w:t>
      </w:r>
      <w:r>
        <w:rPr>
          <w:rFonts w:ascii="Times New Roman" w:eastAsia="Times New Roman" w:hAnsi="Times New Roman" w:cs="Times New Roman"/>
          <w:color w:val="000000"/>
          <w:sz w:val="22"/>
          <w:szCs w:val="22"/>
        </w:rPr>
        <w:lastRenderedPageBreak/>
        <w:t>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4" w:name="3rdcrjn" w:colFirst="0" w:colLast="0"/>
      <w:bookmarkEnd w:id="4"/>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5" w:name="kix.hn2zg0p0an6o" w:colFirst="0" w:colLast="0"/>
      <w:bookmarkEnd w:id="5"/>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6" w:name="kix.ndpokp4ua2kb" w:colFirst="0" w:colLast="0"/>
      <w:bookmarkEnd w:id="6"/>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35nkun2"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Потребитель: </w:t>
      </w:r>
      <w:bookmarkStart w:id="8" w:name="1ksv4uv" w:colFirst="0" w:colLast="0"/>
      <w:bookmarkEnd w:id="8"/>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9" w:name="44sinio" w:colFirst="0" w:colLast="0"/>
      <w:bookmarkEnd w:id="9"/>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10" w:name="3as4poj" w:colFirst="0" w:colLast="0"/>
            <w:bookmarkEnd w:id="10"/>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1" w:name="2jxsxqh" w:colFirst="0" w:colLast="0"/>
            <w:bookmarkEnd w:id="11"/>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2" w:name="z337ya" w:colFirst="0" w:colLast="0"/>
            <w:bookmarkEnd w:id="12"/>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3" w:name="3j2qqm3" w:colFirst="0" w:colLast="0"/>
            <w:bookmarkEnd w:id="13"/>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4" w:name="1y810tw" w:colFirst="0" w:colLast="0"/>
            <w:bookmarkEnd w:id="14"/>
            <w:r>
              <w:rPr>
                <w:rFonts w:ascii="Times New Roman" w:eastAsia="Times New Roman" w:hAnsi="Times New Roman" w:cs="Times New Roman"/>
                <w:color w:val="000000"/>
                <w:sz w:val="22"/>
                <w:szCs w:val="22"/>
              </w:rPr>
              <w:t>ИНН/</w:t>
            </w:r>
            <w:bookmarkStart w:id="15" w:name="4i7ojhp" w:colFirst="0" w:colLast="0"/>
            <w:bookmarkEnd w:id="15"/>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6" w:name="2xcytpi" w:colFirst="0" w:colLast="0"/>
            <w:bookmarkEnd w:id="16"/>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7" w:name="1ci93xb" w:colFirst="0" w:colLast="0"/>
            <w:bookmarkEnd w:id="17"/>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8" w:name="3whwml4" w:colFirst="0" w:colLast="0"/>
            <w:bookmarkEnd w:id="18"/>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9" w:name="2bn6wsx" w:colFirst="0" w:colLast="0"/>
            <w:bookmarkEnd w:id="19"/>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20" w:name="qsh70q" w:colFirst="0" w:colLast="0"/>
            <w:bookmarkEnd w:id="20"/>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1" w:name="1pxezwc" w:colFirst="0" w:colLast="0"/>
            <w:bookmarkEnd w:id="21"/>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2" w:name="49x2ik5" w:colFirst="0" w:colLast="0"/>
            <w:bookmarkEnd w:id="22"/>
            <w:proofErr w:type="spellStart"/>
            <w:r>
              <w:rPr>
                <w:rFonts w:ascii="Times New Roman" w:eastAsia="Times New Roman" w:hAnsi="Times New Roman" w:cs="Times New Roman"/>
                <w:color w:val="000000"/>
                <w:sz w:val="22"/>
                <w:szCs w:val="22"/>
              </w:rPr>
              <w:t>EmailКонтактногоЛица</w:t>
            </w:r>
            <w:proofErr w:type="spellEnd"/>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8D3EFE" w:rsidRDefault="008D3EFE"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3" w:name="2p2csry" w:colFirst="0" w:colLast="0"/>
            <w:bookmarkEnd w:id="23"/>
            <w:r>
              <w:rPr>
                <w:rFonts w:ascii="Times New Roman" w:eastAsia="Times New Roman" w:hAnsi="Times New Roman" w:cs="Times New Roman"/>
                <w:color w:val="000000"/>
                <w:sz w:val="22"/>
                <w:szCs w:val="22"/>
              </w:rPr>
              <w:t>Лицо_КонтрСокр2/</w:t>
            </w:r>
          </w:p>
        </w:tc>
        <w:tc>
          <w:tcPr>
            <w:tcW w:w="5387" w:type="dxa"/>
          </w:tcPr>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ООО «Центр коммунального сервиса»</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 xml:space="preserve">Юридический адрес: </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454091, г. Челябинск, ул. Маркса, д. 38, оф. 201</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Почтовый адрес:</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454091, г. Челябинск, ул. Маркса, д. 38, оф. 201</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ИНН 7456027298/</w:t>
            </w:r>
            <w:r w:rsidR="00D41479" w:rsidRPr="00D41479">
              <w:rPr>
                <w:rFonts w:ascii="Times New Roman" w:eastAsia="Times New Roman" w:hAnsi="Times New Roman" w:cs="Times New Roman"/>
                <w:sz w:val="22"/>
                <w:szCs w:val="22"/>
              </w:rPr>
              <w:t>КПП 745301001</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БИК 047501988</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ОКПО 36899476</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ОГРН 1157456004683</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 xml:space="preserve">р/с 40702810804100003740в ЧФ АО «СМП Банк» </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 xml:space="preserve">к/с 30101810000000000988 в отделении            </w:t>
            </w:r>
          </w:p>
          <w:p w:rsidR="008D3EFE" w:rsidRPr="008D3EFE" w:rsidRDefault="008D3EFE" w:rsidP="008D3EFE">
            <w:pPr>
              <w:shd w:val="clear" w:color="auto" w:fill="FFFFFF"/>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Челябинск</w:t>
            </w:r>
          </w:p>
          <w:p w:rsidR="008D3EFE" w:rsidRPr="008D3EFE" w:rsidRDefault="008D3EFE" w:rsidP="008D3EFE">
            <w:pPr>
              <w:shd w:val="clear" w:color="auto" w:fill="FFFFFF"/>
              <w:rPr>
                <w:rFonts w:ascii="Times New Roman" w:eastAsia="Times New Roman" w:hAnsi="Times New Roman" w:cs="Times New Roman"/>
                <w:sz w:val="22"/>
                <w:szCs w:val="22"/>
              </w:rPr>
            </w:pPr>
            <w:proofErr w:type="spellStart"/>
            <w:r w:rsidRPr="008D3EFE">
              <w:rPr>
                <w:rFonts w:ascii="Times New Roman" w:eastAsia="Times New Roman" w:hAnsi="Times New Roman" w:cs="Times New Roman"/>
                <w:sz w:val="22"/>
                <w:szCs w:val="22"/>
              </w:rPr>
              <w:t>Эл.почта</w:t>
            </w:r>
            <w:proofErr w:type="spellEnd"/>
            <w:r w:rsidRPr="008D3EFE">
              <w:rPr>
                <w:rFonts w:ascii="Times New Roman" w:eastAsia="Times New Roman" w:hAnsi="Times New Roman" w:cs="Times New Roman"/>
                <w:sz w:val="22"/>
                <w:szCs w:val="22"/>
              </w:rPr>
              <w:t xml:space="preserve">: info@cks174.ru </w:t>
            </w:r>
          </w:p>
          <w:p w:rsidR="00AA310C" w:rsidRDefault="008D3EFE" w:rsidP="008D3EFE">
            <w:pPr>
              <w:rPr>
                <w:rFonts w:ascii="Times New Roman" w:eastAsia="Times New Roman" w:hAnsi="Times New Roman" w:cs="Times New Roman"/>
                <w:sz w:val="22"/>
                <w:szCs w:val="22"/>
              </w:rPr>
            </w:pPr>
            <w:r w:rsidRPr="008D3EFE">
              <w:rPr>
                <w:rFonts w:ascii="Times New Roman" w:eastAsia="Times New Roman" w:hAnsi="Times New Roman" w:cs="Times New Roman"/>
                <w:sz w:val="22"/>
                <w:szCs w:val="22"/>
              </w:rPr>
              <w:t>Тел: 8 (351) 200-33-83</w:t>
            </w:r>
          </w:p>
          <w:p w:rsidR="008D3EFE" w:rsidRDefault="008D3EFE" w:rsidP="008D3EFE">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90" w:rsidRDefault="00F42590">
      <w:r>
        <w:separator/>
      </w:r>
    </w:p>
  </w:endnote>
  <w:endnote w:type="continuationSeparator" w:id="0">
    <w:p w:rsidR="00F42590" w:rsidRDefault="00F4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90" w:rsidRDefault="00F42590">
      <w:r>
        <w:separator/>
      </w:r>
    </w:p>
  </w:footnote>
  <w:footnote w:type="continuationSeparator" w:id="0">
    <w:p w:rsidR="00F42590" w:rsidRDefault="00F42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BEC87C9C"/>
    <w:lvl w:ilvl="0">
      <w:start w:val="3"/>
      <w:numFmt w:val="decimal"/>
      <w:lvlText w:val="%1."/>
      <w:lvlJc w:val="left"/>
      <w:pPr>
        <w:ind w:left="360" w:hanging="360"/>
      </w:pPr>
    </w:lvl>
    <w:lvl w:ilvl="1">
      <w:start w:val="1"/>
      <w:numFmt w:val="decimal"/>
      <w:lvlText w:val="%1.%2."/>
      <w:lvlJc w:val="left"/>
      <w:pPr>
        <w:ind w:left="1070" w:hanging="360"/>
      </w:pPr>
      <w:rPr>
        <w:b w:val="0"/>
        <w:i w:val="0"/>
        <w:color w:val="000000"/>
        <w:sz w:val="22"/>
        <w:szCs w:val="22"/>
      </w:rPr>
    </w:lvl>
    <w:lvl w:ilvl="2">
      <w:start w:val="1"/>
      <w:numFmt w:val="decimal"/>
      <w:lvlText w:val="%1.%2.%3."/>
      <w:lvlJc w:val="left"/>
      <w:pPr>
        <w:ind w:left="1571"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76D84"/>
    <w:rsid w:val="000C70BE"/>
    <w:rsid w:val="00115F60"/>
    <w:rsid w:val="0011644B"/>
    <w:rsid w:val="001547F6"/>
    <w:rsid w:val="00162347"/>
    <w:rsid w:val="001B5A8B"/>
    <w:rsid w:val="001F3054"/>
    <w:rsid w:val="00292B9D"/>
    <w:rsid w:val="002A2A7A"/>
    <w:rsid w:val="002D7874"/>
    <w:rsid w:val="0033776D"/>
    <w:rsid w:val="00354FBF"/>
    <w:rsid w:val="003B0254"/>
    <w:rsid w:val="003C1850"/>
    <w:rsid w:val="003C2015"/>
    <w:rsid w:val="003D441E"/>
    <w:rsid w:val="0040549B"/>
    <w:rsid w:val="004675A3"/>
    <w:rsid w:val="004D1256"/>
    <w:rsid w:val="00595C7D"/>
    <w:rsid w:val="00596592"/>
    <w:rsid w:val="005A5CD3"/>
    <w:rsid w:val="005C4EDE"/>
    <w:rsid w:val="005F566D"/>
    <w:rsid w:val="00615124"/>
    <w:rsid w:val="00632DDC"/>
    <w:rsid w:val="00643ED6"/>
    <w:rsid w:val="00670E35"/>
    <w:rsid w:val="00693E46"/>
    <w:rsid w:val="006945E6"/>
    <w:rsid w:val="006B0288"/>
    <w:rsid w:val="006F7972"/>
    <w:rsid w:val="0070144A"/>
    <w:rsid w:val="00740197"/>
    <w:rsid w:val="00797404"/>
    <w:rsid w:val="007D7D1F"/>
    <w:rsid w:val="007F77D1"/>
    <w:rsid w:val="00813F1E"/>
    <w:rsid w:val="00836EB5"/>
    <w:rsid w:val="00857D65"/>
    <w:rsid w:val="008630BC"/>
    <w:rsid w:val="00877845"/>
    <w:rsid w:val="008A715F"/>
    <w:rsid w:val="008D3EFE"/>
    <w:rsid w:val="008F779D"/>
    <w:rsid w:val="0091721A"/>
    <w:rsid w:val="00926110"/>
    <w:rsid w:val="009363FA"/>
    <w:rsid w:val="009671D0"/>
    <w:rsid w:val="00973887"/>
    <w:rsid w:val="009C1C12"/>
    <w:rsid w:val="009F44D8"/>
    <w:rsid w:val="00A9797B"/>
    <w:rsid w:val="00AA310C"/>
    <w:rsid w:val="00AB5BA4"/>
    <w:rsid w:val="00B07D70"/>
    <w:rsid w:val="00B14424"/>
    <w:rsid w:val="00B275D6"/>
    <w:rsid w:val="00B36274"/>
    <w:rsid w:val="00B4387F"/>
    <w:rsid w:val="00BB3918"/>
    <w:rsid w:val="00BD5372"/>
    <w:rsid w:val="00BF110C"/>
    <w:rsid w:val="00BF7CFA"/>
    <w:rsid w:val="00C25882"/>
    <w:rsid w:val="00CA1F1E"/>
    <w:rsid w:val="00CC649E"/>
    <w:rsid w:val="00D41479"/>
    <w:rsid w:val="00D70364"/>
    <w:rsid w:val="00D90043"/>
    <w:rsid w:val="00D9195C"/>
    <w:rsid w:val="00DF3EFC"/>
    <w:rsid w:val="00E77A41"/>
    <w:rsid w:val="00E90D57"/>
    <w:rsid w:val="00E94034"/>
    <w:rsid w:val="00F316DE"/>
    <w:rsid w:val="00F42590"/>
    <w:rsid w:val="00F50408"/>
    <w:rsid w:val="00F93E1F"/>
    <w:rsid w:val="00F95C66"/>
    <w:rsid w:val="00FC2586"/>
    <w:rsid w:val="00FF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9</cp:revision>
  <cp:lastPrinted>2019-03-29T12:55:00Z</cp:lastPrinted>
  <dcterms:created xsi:type="dcterms:W3CDTF">2019-03-16T10:45:00Z</dcterms:created>
  <dcterms:modified xsi:type="dcterms:W3CDTF">2019-08-06T12:29:00Z</dcterms:modified>
</cp:coreProperties>
</file>