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proofErr w:type="gramStart"/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proofErr w:type="gramEnd"/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670BBD" w:rsidP="008644AE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ИКЗ</w:t>
      </w:r>
      <w:r w:rsidR="00C535E3"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1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ИИК</w:t>
      </w:r>
      <w:r w:rsidR="008644AE">
        <w:rPr>
          <w:b/>
        </w:rPr>
        <w:fldChar w:fldCharType="end"/>
      </w:r>
      <w:bookmarkEnd w:id="1"/>
    </w:p>
    <w:p w:rsidR="00CD2901" w:rsidRDefault="00CD2901" w:rsidP="00CD290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2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10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r w:rsidR="00F412BC" w:rsidRPr="007B71D7">
        <w:rPr>
          <w:rFonts w:eastAsiaTheme="minorHAnsi"/>
          <w:lang w:val="ru-RU"/>
        </w:rPr>
        <w:t>ПериодС</w:t>
      </w:r>
      <w:r w:rsidR="00F412BC" w:rsidRPr="007B71D7">
        <w:rPr>
          <w:rFonts w:eastAsiaTheme="minorHAnsi"/>
        </w:rPr>
        <w:fldChar w:fldCharType="end"/>
      </w:r>
      <w:bookmarkEnd w:id="10"/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6E2EE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1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11"/>
      <w:r w:rsidRPr="006C0FFD">
        <w:rPr>
          <w:rFonts w:eastAsia="Times New Roman"/>
          <w:b/>
        </w:rPr>
        <w:t xml:space="preserve"> рублей (</w:t>
      </w:r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12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r w:rsidR="00EC6D7A" w:rsidRPr="006C0FFD">
        <w:rPr>
          <w:b/>
        </w:rPr>
        <w:fldChar w:fldCharType="end"/>
      </w:r>
      <w:bookmarkEnd w:id="12"/>
      <w:r w:rsidRPr="006C0FFD">
        <w:rPr>
          <w:rFonts w:eastAsia="Times New Roman"/>
          <w:b/>
        </w:rPr>
        <w:t>) рублей (</w:t>
      </w:r>
      <w:r w:rsidR="006E2EE4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6E2EE4" w:rsidRPr="006E2EE4">
        <w:rPr>
          <w:rFonts w:eastAsia="Times New Roman"/>
          <w:b/>
        </w:rPr>
        <w:t>пп</w:t>
      </w:r>
      <w:proofErr w:type="spellEnd"/>
      <w:r w:rsidR="006E2EE4" w:rsidRPr="006E2EE4">
        <w:rPr>
          <w:rFonts w:eastAsia="Times New Roman"/>
          <w:b/>
        </w:rPr>
        <w:t>. 36 НК РФ</w:t>
      </w:r>
      <w:r w:rsidRPr="006C0FFD">
        <w:rPr>
          <w:rFonts w:eastAsia="Times New Roman"/>
          <w:b/>
        </w:rPr>
        <w:t>)</w:t>
      </w:r>
      <w:r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7B71D7">
        <w:rPr>
          <w:rFonts w:eastAsia="Times New Roman"/>
        </w:rPr>
        <w:lastRenderedPageBreak/>
        <w:t xml:space="preserve">Оплата услуг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14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 w:rsidR="006F12BB">
        <w:rPr>
          <w:rFonts w:eastAsia="Times New Roman"/>
        </w:rPr>
        <w:t>, счет</w:t>
      </w:r>
      <w:r w:rsidR="006E2EE4">
        <w:rPr>
          <w:rFonts w:eastAsia="Times New Roman"/>
        </w:rPr>
        <w:t>.</w:t>
      </w:r>
      <w:r w:rsidRPr="007B71D7">
        <w:rPr>
          <w:rFonts w:eastAsia="Times New Roman"/>
        </w:rPr>
        <w:t xml:space="preserve"> </w:t>
      </w:r>
      <w:r w:rsidR="00080044"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A668E8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</w:t>
      </w:r>
      <w:r w:rsidR="0016019A">
        <w:rPr>
          <w:lang w:val="ru-RU"/>
        </w:rPr>
        <w:t>а</w:t>
      </w:r>
      <w:r w:rsidR="000F343F" w:rsidRPr="007B71D7">
        <w:rPr>
          <w:lang w:val="ru-RU"/>
        </w:rPr>
        <w:t xml:space="preserve"> в </w:t>
      </w:r>
      <w:r w:rsidR="006E2EE4"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 w:rsidR="0016019A"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A668E8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 xml:space="preserve"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</w:t>
      </w:r>
      <w:r w:rsidR="000C4A0A">
        <w:t xml:space="preserve">рабочим </w:t>
      </w:r>
      <w:r>
        <w:t>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</w:t>
      </w:r>
      <w:r w:rsidRPr="00084E63">
        <w:rPr>
          <w:rFonts w:eastAsia="Times New Roman"/>
        </w:rPr>
        <w:lastRenderedPageBreak/>
        <w:t>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3B7ADB" w:rsidRPr="007B71D7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A668E8">
        <w:rPr>
          <w:b w:val="0"/>
          <w:lang w:val="ru-RU"/>
        </w:rPr>
        <w:t>Договор</w:t>
      </w:r>
      <w:r w:rsidR="006E2EE4">
        <w:rPr>
          <w:b w:val="0"/>
          <w:lang w:val="ru-RU"/>
        </w:rPr>
        <w:t>у) и</w:t>
      </w:r>
      <w:r w:rsidR="00385110" w:rsidRPr="007B71D7">
        <w:rPr>
          <w:b w:val="0"/>
          <w:lang w:val="ru-RU"/>
        </w:rPr>
        <w:t xml:space="preserve"> при наличии паспорт</w:t>
      </w:r>
      <w:r w:rsidR="006E2EE4">
        <w:rPr>
          <w:b w:val="0"/>
          <w:lang w:val="ru-RU"/>
        </w:rPr>
        <w:t>а</w:t>
      </w:r>
      <w:r w:rsidR="00385110" w:rsidRPr="007B71D7">
        <w:rPr>
          <w:b w:val="0"/>
          <w:lang w:val="ru-RU"/>
        </w:rPr>
        <w:t xml:space="preserve">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15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15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r w:rsidR="00793105">
        <w:rPr>
          <w:rStyle w:val="af"/>
          <w:rFonts w:eastAsiaTheme="minorHAnsi"/>
          <w:b w:val="0"/>
          <w:bCs w:val="0"/>
        </w:rPr>
        <w:fldChar w:fldCharType="begin"/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 xml:space="preserve"> </w:instrText>
      </w:r>
      <w:r w:rsidR="00793105">
        <w:rPr>
          <w:rStyle w:val="af"/>
          <w:rFonts w:eastAsiaTheme="minorHAnsi"/>
          <w:b w:val="0"/>
          <w:bCs w:val="0"/>
        </w:rPr>
        <w:instrText>HYPERLINK</w:instrText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 xml:space="preserve"> "</w:instrText>
      </w:r>
      <w:r w:rsidR="00793105">
        <w:rPr>
          <w:rStyle w:val="af"/>
          <w:rFonts w:eastAsiaTheme="minorHAnsi"/>
          <w:b w:val="0"/>
          <w:bCs w:val="0"/>
        </w:rPr>
        <w:instrText>http</w:instrText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>://</w:instrText>
      </w:r>
      <w:r w:rsidR="00793105">
        <w:rPr>
          <w:rStyle w:val="af"/>
          <w:rFonts w:eastAsiaTheme="minorHAnsi"/>
          <w:b w:val="0"/>
          <w:bCs w:val="0"/>
        </w:rPr>
        <w:instrText>www</w:instrText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>.</w:instrText>
      </w:r>
      <w:r w:rsidR="00793105">
        <w:rPr>
          <w:rStyle w:val="af"/>
          <w:rFonts w:eastAsiaTheme="minorHAnsi"/>
          <w:b w:val="0"/>
          <w:bCs w:val="0"/>
        </w:rPr>
        <w:instrText>mineco</w:instrText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>174.</w:instrText>
      </w:r>
      <w:r w:rsidR="00793105">
        <w:rPr>
          <w:rStyle w:val="af"/>
          <w:rFonts w:eastAsiaTheme="minorHAnsi"/>
          <w:b w:val="0"/>
          <w:bCs w:val="0"/>
        </w:rPr>
        <w:instrText>ru</w:instrText>
      </w:r>
      <w:r w:rsidR="00793105" w:rsidRPr="00CC092A">
        <w:rPr>
          <w:rStyle w:val="af"/>
          <w:rFonts w:eastAsiaTheme="minorHAnsi"/>
          <w:b w:val="0"/>
          <w:bCs w:val="0"/>
          <w:lang w:val="ru-RU"/>
        </w:rPr>
        <w:instrText xml:space="preserve">/" </w:instrText>
      </w:r>
      <w:r w:rsidR="00793105">
        <w:rPr>
          <w:rStyle w:val="af"/>
          <w:rFonts w:eastAsiaTheme="minorHAnsi"/>
          <w:b w:val="0"/>
          <w:bCs w:val="0"/>
        </w:rPr>
        <w:fldChar w:fldCharType="separate"/>
      </w:r>
      <w:r w:rsidR="00880408" w:rsidRPr="007B71D7">
        <w:rPr>
          <w:rStyle w:val="af"/>
          <w:rFonts w:eastAsiaTheme="minorHAnsi"/>
          <w:b w:val="0"/>
          <w:bCs w:val="0"/>
        </w:rPr>
        <w:t>http</w:t>
      </w:r>
      <w:r w:rsidR="00880408" w:rsidRPr="007B71D7">
        <w:rPr>
          <w:rStyle w:val="af"/>
          <w:rFonts w:eastAsiaTheme="minorHAnsi"/>
          <w:b w:val="0"/>
          <w:bCs w:val="0"/>
          <w:lang w:val="ru-RU"/>
        </w:rPr>
        <w:t>://</w:t>
      </w:r>
      <w:r w:rsidR="00880408" w:rsidRPr="007B71D7">
        <w:rPr>
          <w:rStyle w:val="af"/>
          <w:rFonts w:eastAsiaTheme="minorHAnsi"/>
          <w:b w:val="0"/>
          <w:bCs w:val="0"/>
        </w:rPr>
        <w:t>www</w:t>
      </w:r>
      <w:r w:rsidR="00880408" w:rsidRPr="007B71D7">
        <w:rPr>
          <w:rStyle w:val="af"/>
          <w:rFonts w:eastAsiaTheme="minorHAnsi"/>
          <w:b w:val="0"/>
          <w:bCs w:val="0"/>
          <w:lang w:val="ru-RU"/>
        </w:rPr>
        <w:t>.</w:t>
      </w:r>
      <w:proofErr w:type="spellStart"/>
      <w:r w:rsidR="00880408" w:rsidRPr="007B71D7">
        <w:rPr>
          <w:rStyle w:val="af"/>
          <w:rFonts w:eastAsiaTheme="minorHAnsi"/>
          <w:b w:val="0"/>
          <w:bCs w:val="0"/>
        </w:rPr>
        <w:t>mineco</w:t>
      </w:r>
      <w:proofErr w:type="spellEnd"/>
      <w:r w:rsidR="00880408" w:rsidRPr="007B71D7">
        <w:rPr>
          <w:rStyle w:val="af"/>
          <w:rFonts w:eastAsiaTheme="minorHAnsi"/>
          <w:b w:val="0"/>
          <w:bCs w:val="0"/>
          <w:lang w:val="ru-RU"/>
        </w:rPr>
        <w:t>174.</w:t>
      </w:r>
      <w:proofErr w:type="spellStart"/>
      <w:r w:rsidR="00880408" w:rsidRPr="007B71D7">
        <w:rPr>
          <w:rStyle w:val="af"/>
          <w:rFonts w:eastAsiaTheme="minorHAnsi"/>
          <w:b w:val="0"/>
          <w:bCs w:val="0"/>
        </w:rPr>
        <w:t>ru</w:t>
      </w:r>
      <w:proofErr w:type="spellEnd"/>
      <w:r w:rsidR="00880408" w:rsidRPr="007B71D7">
        <w:rPr>
          <w:rStyle w:val="af"/>
          <w:rFonts w:eastAsiaTheme="minorHAnsi"/>
          <w:b w:val="0"/>
          <w:bCs w:val="0"/>
          <w:lang w:val="ru-RU"/>
        </w:rPr>
        <w:t>/</w:t>
      </w:r>
      <w:r w:rsidR="00793105">
        <w:rPr>
          <w:rStyle w:val="af"/>
          <w:rFonts w:eastAsiaTheme="minorHAnsi"/>
          <w:b w:val="0"/>
          <w:bCs w:val="0"/>
          <w:lang w:val="ru-RU"/>
        </w:rPr>
        <w:fldChar w:fldCharType="end"/>
      </w:r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8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</w:t>
      </w:r>
      <w:r w:rsidRPr="007B71D7">
        <w:lastRenderedPageBreak/>
        <w:t xml:space="preserve">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6E2EE4" w:rsidRPr="006E2EE4" w:rsidRDefault="006E2EE4" w:rsidP="006E2EE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6E2EE4">
        <w:rPr>
          <w:rFonts w:eastAsia="Times New Roman"/>
          <w:color w:val="FF000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</w:t>
      </w:r>
      <w:r w:rsidRPr="006E2EE4">
        <w:rPr>
          <w:rFonts w:eastAsia="Times New Roman"/>
        </w:rPr>
        <w:t>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</w:t>
      </w:r>
      <w:r w:rsidR="00A56BC3">
        <w:rPr>
          <w:rFonts w:eastAsia="Times New Roman"/>
          <w:color w:val="FF0000"/>
        </w:rPr>
        <w:t>1 000 (одна тысяча)</w:t>
      </w:r>
      <w:r w:rsidRPr="006E2EE4">
        <w:rPr>
          <w:rFonts w:eastAsia="Times New Roman"/>
          <w:color w:val="FF0000"/>
        </w:rPr>
        <w:t xml:space="preserve"> рублей.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9"/>
        </w:rPr>
      </w:pPr>
      <w:r w:rsidRPr="006E2EE4">
        <w:rPr>
          <w:rFonts w:eastAsia="Times New Roman"/>
          <w:color w:val="FF0000"/>
          <w:spacing w:val="-9"/>
        </w:rPr>
        <w:t>7.5</w:t>
      </w:r>
      <w:r w:rsidRPr="006E2EE4">
        <w:rPr>
          <w:color w:val="FF0000"/>
          <w:spacing w:val="-9"/>
        </w:rPr>
        <w:t xml:space="preserve">. 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100 000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</w:t>
      </w:r>
      <w:r w:rsidRPr="006E2EE4">
        <w:rPr>
          <w:color w:val="FF0000"/>
          <w:spacing w:val="-9"/>
        </w:rPr>
        <w:lastRenderedPageBreak/>
        <w:t>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  <w:r w:rsidRPr="006E2EE4">
        <w:rPr>
          <w:spacing w:val="-9"/>
        </w:rPr>
        <w:t xml:space="preserve"> </w:t>
      </w:r>
    </w:p>
    <w:p w:rsidR="006E2EE4" w:rsidRPr="006E2EE4" w:rsidRDefault="006E2EE4" w:rsidP="006E2EE4">
      <w:pPr>
        <w:ind w:firstLine="709"/>
        <w:rPr>
          <w:rFonts w:eastAsia="Times New Roman"/>
        </w:rPr>
      </w:pPr>
      <w:r w:rsidRPr="006E2EE4">
        <w:rPr>
          <w:rFonts w:eastAsia="Times New Roman"/>
        </w:rPr>
        <w:t xml:space="preserve">7.6. </w:t>
      </w:r>
      <w:r w:rsidRPr="006E2EE4">
        <w:rPr>
          <w:color w:val="FF0000"/>
        </w:rPr>
        <w:t xml:space="preserve"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 </w:t>
      </w:r>
    </w:p>
    <w:p w:rsidR="006E2EE4" w:rsidRPr="006E2EE4" w:rsidRDefault="006E2EE4" w:rsidP="006E2EE4">
      <w:pPr>
        <w:numPr>
          <w:ilvl w:val="1"/>
          <w:numId w:val="21"/>
        </w:numPr>
        <w:ind w:left="0" w:firstLine="567"/>
        <w:jc w:val="both"/>
        <w:rPr>
          <w:rFonts w:eastAsia="Times New Roman"/>
        </w:rPr>
      </w:pP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4"/>
        </w:rPr>
        <w:t xml:space="preserve">случае </w:t>
      </w:r>
      <w:r w:rsidRPr="006E2EE4">
        <w:rPr>
          <w:rFonts w:eastAsia="Times New Roman"/>
          <w:spacing w:val="-5"/>
        </w:rPr>
        <w:t xml:space="preserve">технической неисправности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), </w:t>
      </w:r>
      <w:r w:rsidRPr="006E2EE4">
        <w:rPr>
          <w:rFonts w:eastAsia="Times New Roman"/>
        </w:rPr>
        <w:t xml:space="preserve">а </w:t>
      </w:r>
      <w:r w:rsidRPr="006E2EE4">
        <w:rPr>
          <w:rFonts w:eastAsia="Times New Roman"/>
          <w:spacing w:val="-4"/>
        </w:rPr>
        <w:t xml:space="preserve">также </w:t>
      </w:r>
      <w:r w:rsidRPr="006E2EE4">
        <w:rPr>
          <w:rFonts w:eastAsia="Times New Roman"/>
          <w:spacing w:val="-5"/>
        </w:rPr>
        <w:t xml:space="preserve">несоответствия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 обязательным </w:t>
      </w:r>
      <w:r w:rsidRPr="006E2EE4">
        <w:rPr>
          <w:rFonts w:eastAsia="Times New Roman"/>
          <w:spacing w:val="-5"/>
        </w:rPr>
        <w:t xml:space="preserve">техническим требованиям и ГОСТам, Региональный оператор </w:t>
      </w:r>
      <w:r w:rsidRPr="006E2EE4">
        <w:rPr>
          <w:rFonts w:eastAsia="Times New Roman"/>
          <w:spacing w:val="-3"/>
        </w:rPr>
        <w:t xml:space="preserve">не </w:t>
      </w:r>
      <w:r w:rsidRPr="006E2EE4">
        <w:rPr>
          <w:rFonts w:eastAsia="Times New Roman"/>
          <w:spacing w:val="-5"/>
        </w:rPr>
        <w:t xml:space="preserve">несет ответственности </w:t>
      </w:r>
      <w:r w:rsidRPr="006E2EE4">
        <w:rPr>
          <w:rFonts w:eastAsia="Times New Roman"/>
          <w:spacing w:val="-3"/>
        </w:rPr>
        <w:t xml:space="preserve">за </w:t>
      </w:r>
      <w:proofErr w:type="spellStart"/>
      <w:r w:rsidRPr="006E2EE4">
        <w:rPr>
          <w:rFonts w:eastAsia="Times New Roman"/>
          <w:spacing w:val="-4"/>
        </w:rPr>
        <w:t>невывоз</w:t>
      </w:r>
      <w:proofErr w:type="spellEnd"/>
      <w:r w:rsidRPr="006E2EE4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5"/>
        </w:rPr>
        <w:t xml:space="preserve">отходов, находящихся </w:t>
      </w: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5"/>
        </w:rPr>
        <w:t xml:space="preserve">таком </w:t>
      </w:r>
      <w:r w:rsidRPr="006E2EE4">
        <w:rPr>
          <w:rFonts w:eastAsia="Times New Roman"/>
          <w:spacing w:val="-3"/>
        </w:rPr>
        <w:t xml:space="preserve">(их) </w:t>
      </w:r>
      <w:r w:rsidRPr="006E2EE4">
        <w:rPr>
          <w:rFonts w:eastAsia="Times New Roman"/>
          <w:spacing w:val="-5"/>
        </w:rPr>
        <w:t>контейнере</w:t>
      </w:r>
      <w:r w:rsidRPr="006E2EE4">
        <w:rPr>
          <w:rFonts w:eastAsia="Times New Roman"/>
          <w:spacing w:val="-4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6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6"/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Дата окончания действия</w:t>
      </w:r>
      <w:r w:rsidR="00256D41" w:rsidRPr="00256D41">
        <w:fldChar w:fldCharType="end"/>
      </w:r>
      <w:bookmarkEnd w:id="17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 w:rsidR="003F1F29">
        <w:rPr>
          <w:rFonts w:eastAsia="Times New Roman"/>
        </w:rPr>
        <w:t xml:space="preserve"> период бездоговорно</w:t>
      </w:r>
      <w:r w:rsidR="00B44991">
        <w:rPr>
          <w:rFonts w:eastAsia="Times New Roman"/>
        </w:rPr>
        <w:t>го</w:t>
      </w:r>
      <w:r w:rsidR="00A56BC3">
        <w:rPr>
          <w:rFonts w:eastAsia="Times New Roman"/>
        </w:rPr>
        <w:t xml:space="preserve"> оказания услуг с 01.01.2020</w:t>
      </w:r>
      <w:r w:rsidR="00B44991" w:rsidRPr="00B44991">
        <w:rPr>
          <w:rFonts w:eastAsia="Times New Roman"/>
        </w:rPr>
        <w:t xml:space="preserve"> г. до</w:t>
      </w:r>
      <w:r w:rsidR="00B44991">
        <w:rPr>
          <w:rFonts w:eastAsia="Times New Roman"/>
        </w:rPr>
        <w:t xml:space="preserve"> момента подписания настоящего </w:t>
      </w:r>
      <w:r w:rsidR="00A668E8">
        <w:rPr>
          <w:rFonts w:eastAsia="Times New Roman"/>
        </w:rPr>
        <w:t>договор</w:t>
      </w:r>
      <w:r w:rsidR="00B44991">
        <w:rPr>
          <w:rFonts w:eastAsia="Times New Roman"/>
        </w:rPr>
        <w:t>а</w:t>
      </w:r>
      <w:r w:rsidR="00B44991"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9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lastRenderedPageBreak/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8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8"/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0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proofErr w:type="gramStart"/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9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</w:t>
      </w:r>
      <w:proofErr w:type="gramEnd"/>
      <w:r w:rsidR="008120BF" w:rsidRPr="008120BF">
        <w:t>Контрагента</w:t>
      </w:r>
      <w:r w:rsidR="008120BF" w:rsidRPr="008120BF">
        <w:fldChar w:fldCharType="end"/>
      </w:r>
      <w:bookmarkEnd w:id="19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proofErr w:type="gramStart"/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20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</w:t>
      </w:r>
      <w:proofErr w:type="gramEnd"/>
      <w:r w:rsidR="00F31981" w:rsidRPr="00F31981">
        <w:t xml:space="preserve"> в документах</w:t>
      </w:r>
      <w:r w:rsidR="00F31981" w:rsidRPr="00F31981">
        <w:fldChar w:fldCharType="end"/>
      </w:r>
      <w:bookmarkEnd w:id="20"/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p w:rsidR="001A54D1" w:rsidRPr="000C4A0A" w:rsidRDefault="001A54D1" w:rsidP="001A54D1">
      <w:pPr>
        <w:pStyle w:val="ad"/>
        <w:widowControl/>
        <w:autoSpaceDE w:val="0"/>
        <w:autoSpaceDN w:val="0"/>
        <w:adjustRightInd w:val="0"/>
        <w:ind w:left="360"/>
        <w:outlineLvl w:val="0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1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21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2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2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3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3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4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5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6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7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8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9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30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0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1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1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CC092A" w:rsidRPr="00CC092A" w:rsidRDefault="00CC092A" w:rsidP="00CC092A">
            <w:r w:rsidRPr="00CC092A">
              <w:t>ООО «Центр коммунального сервиса»</w:t>
            </w:r>
          </w:p>
          <w:p w:rsidR="00CC092A" w:rsidRPr="00CC092A" w:rsidRDefault="00CC092A" w:rsidP="00CC092A">
            <w:r w:rsidRPr="00CC092A">
              <w:t xml:space="preserve">Юридический адрес: 454091, г. Челябинск, </w:t>
            </w:r>
            <w:r w:rsidRPr="00CC092A">
              <w:br/>
              <w:t>ул. Маркса, д. 38, оф. 201</w:t>
            </w:r>
          </w:p>
          <w:p w:rsidR="00CC092A" w:rsidRPr="00CC092A" w:rsidRDefault="00CC092A" w:rsidP="00CC092A">
            <w:pPr>
              <w:tabs>
                <w:tab w:val="left" w:pos="425"/>
                <w:tab w:val="left" w:pos="567"/>
              </w:tabs>
            </w:pPr>
            <w:r w:rsidRPr="00CC092A">
              <w:t xml:space="preserve">Почтовый адрес: </w:t>
            </w:r>
            <w:r w:rsidRPr="00CC092A">
              <w:fldChar w:fldCharType="begin">
                <w:ffData>
                  <w:name w:val="Орган_ПочтовыйАдресО"/>
                  <w:enabled/>
                  <w:calcOnExit w:val="0"/>
                  <w:textInput>
                    <w:default w:val="ПочтовыйАдресОрганизации"/>
                  </w:textInput>
                </w:ffData>
              </w:fldChar>
            </w:r>
            <w:bookmarkStart w:id="32" w:name="Орган_ПочтовыйАдресО"/>
            <w:r w:rsidRPr="00CC092A">
              <w:instrText xml:space="preserve"> FORMTEXT </w:instrText>
            </w:r>
            <w:r w:rsidRPr="00CC092A">
              <w:fldChar w:fldCharType="separate"/>
            </w:r>
            <w:proofErr w:type="spellStart"/>
            <w:r w:rsidRPr="00CC092A">
              <w:t>ПочтовыйАдресОрганизации</w:t>
            </w:r>
            <w:proofErr w:type="spellEnd"/>
            <w:r w:rsidRPr="00CC092A">
              <w:fldChar w:fldCharType="end"/>
            </w:r>
            <w:bookmarkEnd w:id="32"/>
          </w:p>
          <w:p w:rsidR="00CC092A" w:rsidRPr="00CC092A" w:rsidRDefault="00CC092A" w:rsidP="00CC092A">
            <w:r w:rsidRPr="00CC092A">
              <w:t>ИНН 7456027298/КПП 745301001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БИК 044525187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ОКПО 36899476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ОГРН 1157456004683</w:t>
            </w:r>
          </w:p>
          <w:p w:rsidR="00CC092A" w:rsidRPr="00CC092A" w:rsidRDefault="00CC092A" w:rsidP="00CC092A">
            <w:pPr>
              <w:jc w:val="both"/>
            </w:pPr>
            <w:r w:rsidRPr="00CC092A">
              <w:t>р/с 40702810209800000595 в филиале банка ВТБ</w:t>
            </w:r>
          </w:p>
          <w:p w:rsidR="00CC092A" w:rsidRPr="00CC092A" w:rsidRDefault="00CC092A" w:rsidP="00CC092A">
            <w:pPr>
              <w:jc w:val="both"/>
            </w:pPr>
            <w:r w:rsidRPr="00CC092A">
              <w:t xml:space="preserve">(ПАО) г. Москва </w:t>
            </w:r>
          </w:p>
          <w:p w:rsidR="00CC092A" w:rsidRPr="00CC092A" w:rsidRDefault="00CC092A" w:rsidP="00CC092A">
            <w:r w:rsidRPr="00CC092A">
              <w:t>к/с 30101810700000000187</w:t>
            </w:r>
          </w:p>
          <w:p w:rsidR="00CC092A" w:rsidRPr="00CC092A" w:rsidRDefault="00CC092A" w:rsidP="00CC092A">
            <w:proofErr w:type="spellStart"/>
            <w:r w:rsidRPr="00CC092A">
              <w:t>Эл.почта</w:t>
            </w:r>
            <w:proofErr w:type="spellEnd"/>
            <w:r w:rsidRPr="00CC092A">
              <w:t xml:space="preserve">: </w:t>
            </w:r>
            <w:hyperlink r:id="rId11" w:history="1">
              <w:r w:rsidRPr="00CC092A">
                <w:t>info@cks174.ru</w:t>
              </w:r>
            </w:hyperlink>
          </w:p>
          <w:p w:rsidR="00741AED" w:rsidRPr="00CC092A" w:rsidRDefault="00CC092A" w:rsidP="00CC092A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09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Тел: 8 (351) 200-33-83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  <w:bookmarkStart w:id="33" w:name="_GoBack"/>
            <w:bookmarkEnd w:id="33"/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4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34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5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35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6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36"/>
      <w:r>
        <w:rPr>
          <w:rFonts w:eastAsia="Times New Roman"/>
        </w:rPr>
        <w:t xml:space="preserve"> </w:t>
      </w:r>
      <w:bookmarkStart w:id="37" w:name="23ckvvd" w:colFirst="0" w:colLast="0"/>
      <w:bookmarkEnd w:id="37"/>
      <w:r>
        <w:rPr>
          <w:rFonts w:eastAsia="Times New Roman"/>
        </w:rPr>
        <w:t xml:space="preserve">от </w:t>
      </w:r>
      <w:bookmarkStart w:id="38" w:name="ihv636" w:colFirst="0" w:colLast="0"/>
      <w:bookmarkEnd w:id="38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9" w:name="32hioqz" w:colFirst="0" w:colLast="0"/>
      <w:bookmarkEnd w:id="39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40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1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41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18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2" w:name="2grqrue" w:colFirst="0" w:colLast="0"/>
      <w:bookmarkEnd w:id="42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43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43"/>
      <w:r>
        <w:rPr>
          <w:rFonts w:eastAsia="Times New Roman"/>
        </w:rPr>
        <w:t xml:space="preserve"> от </w:t>
      </w:r>
      <w:bookmarkStart w:id="44" w:name="vx1227" w:colFirst="0" w:colLast="0"/>
      <w:bookmarkEnd w:id="44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5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5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6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6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19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7" w:name="4f1mdlm" w:colFirst="0" w:colLast="0"/>
      <w:bookmarkEnd w:id="47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8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8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9" w:name="2u6wntf" w:colFirst="0" w:colLast="0"/>
      <w:bookmarkEnd w:id="49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50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50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05" w:rsidRDefault="00793105" w:rsidP="002C25D5">
      <w:r>
        <w:separator/>
      </w:r>
    </w:p>
  </w:endnote>
  <w:endnote w:type="continuationSeparator" w:id="0">
    <w:p w:rsidR="00793105" w:rsidRDefault="00793105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05" w:rsidRDefault="00793105" w:rsidP="002C25D5">
      <w:r>
        <w:separator/>
      </w:r>
    </w:p>
  </w:footnote>
  <w:footnote w:type="continuationSeparator" w:id="0">
    <w:p w:rsidR="00793105" w:rsidRDefault="00793105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AA61456"/>
    <w:multiLevelType w:val="multilevel"/>
    <w:tmpl w:val="91CCE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5B12"/>
    <w:rsid w:val="001817BE"/>
    <w:rsid w:val="0018358B"/>
    <w:rsid w:val="00185DEA"/>
    <w:rsid w:val="001902D9"/>
    <w:rsid w:val="00194050"/>
    <w:rsid w:val="00194D7C"/>
    <w:rsid w:val="001A10CF"/>
    <w:rsid w:val="001A54D1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2EE4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105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091F"/>
    <w:rsid w:val="007E1016"/>
    <w:rsid w:val="007E333E"/>
    <w:rsid w:val="007E5CA8"/>
    <w:rsid w:val="007E7EA9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66B9"/>
    <w:rsid w:val="009577FC"/>
    <w:rsid w:val="009617AE"/>
    <w:rsid w:val="009702BF"/>
    <w:rsid w:val="009713B9"/>
    <w:rsid w:val="009734C6"/>
    <w:rsid w:val="00975CC3"/>
    <w:rsid w:val="00976A2A"/>
    <w:rsid w:val="009809ED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1AFD"/>
    <w:rsid w:val="00A44ACF"/>
    <w:rsid w:val="00A46A3C"/>
    <w:rsid w:val="00A51674"/>
    <w:rsid w:val="00A56000"/>
    <w:rsid w:val="00A56635"/>
    <w:rsid w:val="00A56BC3"/>
    <w:rsid w:val="00A616D7"/>
    <w:rsid w:val="00A668E8"/>
    <w:rsid w:val="00A70B4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3B1A"/>
    <w:rsid w:val="00AC548D"/>
    <w:rsid w:val="00AD53FC"/>
    <w:rsid w:val="00AD6319"/>
    <w:rsid w:val="00AD6D08"/>
    <w:rsid w:val="00AE13B6"/>
    <w:rsid w:val="00AE14C0"/>
    <w:rsid w:val="00AE375C"/>
    <w:rsid w:val="00AE6ACF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092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918CA0D88B508F438EB786541EA7DF38CBE2C6009AE20EC06CB45D72E57223D5DA04FE5ED49C8a7PFS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ks174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7167082F25963C0EB1319F6D7071027D5EBCC6ABE949E91899A14FF3Cr04D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8BC2-60D5-4A95-8DC0-C102CD15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Гудаева Татьяна Сергеевна</cp:lastModifiedBy>
  <cp:revision>7</cp:revision>
  <cp:lastPrinted>2017-10-02T11:50:00Z</cp:lastPrinted>
  <dcterms:created xsi:type="dcterms:W3CDTF">2020-01-03T16:39:00Z</dcterms:created>
  <dcterms:modified xsi:type="dcterms:W3CDTF">2020-03-10T06:58:00Z</dcterms:modified>
</cp:coreProperties>
</file>