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Default="00F57018" w:rsidP="00F57018">
      <w:pPr>
        <w:ind w:firstLine="709"/>
        <w:jc w:val="both"/>
        <w:rPr>
          <w:shd w:val="clear" w:color="auto" w:fill="FFFFFF"/>
        </w:rPr>
      </w:pPr>
      <w:r w:rsidRPr="008D08E7">
        <w:rPr>
          <w:rFonts w:eastAsia="Times New Roman"/>
        </w:rPr>
        <w:t xml:space="preserve">- </w:t>
      </w:r>
      <w:r w:rsidRPr="008D08E7">
        <w:rPr>
          <w:shd w:val="clear" w:color="auto" w:fill="FFFFFF"/>
        </w:rPr>
        <w:t>в контейнеры, расположенные в мусороприемных камерах (при наличии соответствующей внутридомовой инженерной системы);</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b/>
        </w:rPr>
        <w:t xml:space="preserve">- </w:t>
      </w:r>
      <w:r w:rsidRPr="008D08E7">
        <w:rPr>
          <w:rFonts w:eastAsia="Times New Roman"/>
        </w:rPr>
        <w:t>в мусоровозы в установленном месте приема отходов, указанном в Приложении № 1, являющимся неотъемл</w:t>
      </w:r>
      <w:r>
        <w:rPr>
          <w:rFonts w:eastAsia="Times New Roman"/>
        </w:rPr>
        <w:t>емой частью настоящего договора;</w:t>
      </w:r>
    </w:p>
    <w:p w:rsidR="00F57018" w:rsidRPr="00F57018" w:rsidRDefault="00F57018"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F57018">
        <w:rPr>
          <w:rFonts w:eastAsia="Times New Roman"/>
          <w:b/>
          <w:color w:val="auto"/>
        </w:rPr>
        <w:t>ИЛИ</w:t>
      </w:r>
    </w:p>
    <w:p w:rsidR="00F57018" w:rsidRDefault="00F57018" w:rsidP="00F57018">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lastRenderedPageBreak/>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0"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0"/>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Тариф на услугу по обращению с ТКО</w:t>
      </w:r>
      <w:r w:rsidR="00934A79" w:rsidRPr="003D409C">
        <w:rPr>
          <w:rFonts w:eastAsia="Times New Roman"/>
          <w:color w:val="auto"/>
        </w:rPr>
        <w:t xml:space="preserve"> </w:t>
      </w:r>
      <w:r w:rsidR="00934A79" w:rsidRPr="003D409C">
        <w:rPr>
          <w:rFonts w:eastAsia="Times New Roman"/>
          <w:color w:val="auto"/>
        </w:rPr>
        <w:fldChar w:fldCharType="begin">
          <w:ffData>
            <w:name w:val="ТарифПоПериодам"/>
            <w:enabled/>
            <w:calcOnExit w:val="0"/>
            <w:textInput>
              <w:default w:val="ТарифПоПериодам"/>
            </w:textInput>
          </w:ffData>
        </w:fldChar>
      </w:r>
      <w:bookmarkStart w:id="21" w:name="ТарифПоПериодам"/>
      <w:r w:rsidR="00934A79" w:rsidRPr="003D409C">
        <w:rPr>
          <w:rFonts w:eastAsia="Times New Roman"/>
          <w:color w:val="auto"/>
        </w:rPr>
        <w:instrText xml:space="preserve"> FORMTEXT </w:instrText>
      </w:r>
      <w:r w:rsidR="00934A79" w:rsidRPr="003D409C">
        <w:rPr>
          <w:rFonts w:eastAsia="Times New Roman"/>
          <w:color w:val="auto"/>
        </w:rPr>
      </w:r>
      <w:r w:rsidR="00934A79" w:rsidRPr="003D409C">
        <w:rPr>
          <w:rFonts w:eastAsia="Times New Roman"/>
          <w:color w:val="auto"/>
        </w:rPr>
        <w:fldChar w:fldCharType="separate"/>
      </w:r>
      <w:r w:rsidR="00934A79" w:rsidRPr="003D409C">
        <w:rPr>
          <w:rFonts w:eastAsia="Times New Roman"/>
          <w:noProof/>
          <w:color w:val="auto"/>
        </w:rPr>
        <w:t>ТарифПоПериодам</w:t>
      </w:r>
      <w:r w:rsidR="00934A79" w:rsidRPr="003D409C">
        <w:rPr>
          <w:rFonts w:eastAsia="Times New Roman"/>
          <w:color w:val="auto"/>
        </w:rPr>
        <w:fldChar w:fldCharType="end"/>
      </w:r>
      <w:bookmarkEnd w:id="21"/>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НДС не предусмотрен согласно ст. 149 п. 2 пп.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2"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2"/>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3"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3"/>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4"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4"/>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5"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5"/>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6"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6"/>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7"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7"/>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8"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8"/>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29"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29"/>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lastRenderedPageBreak/>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w:t>
      </w:r>
      <w:r w:rsidRPr="003D409C">
        <w:rPr>
          <w:rFonts w:eastAsia="Times New Roman"/>
          <w:color w:val="auto"/>
        </w:rPr>
        <w:lastRenderedPageBreak/>
        <w:t>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30" w:name="3rdcrjn" w:colFirst="0" w:colLast="0"/>
      <w:bookmarkEnd w:id="30"/>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1"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1"/>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2"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2"/>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lastRenderedPageBreak/>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3" w:name="35nkun2" w:colFirst="0" w:colLast="0"/>
      <w:bookmarkEnd w:id="33"/>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4"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4"/>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5"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5"/>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6" w:name="1ksv4uv" w:colFirst="0" w:colLast="0"/>
      <w:bookmarkEnd w:id="36"/>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7"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7"/>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8"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8"/>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39" w:name="44sinio" w:colFirst="0" w:colLast="0"/>
      <w:bookmarkEnd w:id="39"/>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40"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40"/>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1" w:name="3as4poj" w:colFirst="0" w:colLast="0"/>
            <w:bookmarkEnd w:id="41"/>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t xml:space="preserve">Наименование </w:t>
            </w:r>
            <w:bookmarkStart w:id="42" w:name="2jxsxqh" w:colFirst="0" w:colLast="0"/>
            <w:bookmarkEnd w:id="42"/>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3"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3"/>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4" w:name="z337ya" w:colFirst="0" w:colLast="0"/>
            <w:bookmarkEnd w:id="44"/>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5"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5"/>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6" w:name="3j2qqm3" w:colFirst="0" w:colLast="0"/>
            <w:bookmarkEnd w:id="46"/>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7"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7"/>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8"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8"/>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49" w:name="1y810tw" w:colFirst="0" w:colLast="0"/>
            <w:bookmarkEnd w:id="49"/>
            <w:r w:rsidR="00050BAE" w:rsidRPr="003D409C">
              <w:rPr>
                <w:rFonts w:eastAsia="Times New Roman"/>
                <w:color w:val="auto"/>
              </w:rPr>
              <w:fldChar w:fldCharType="begin">
                <w:ffData>
                  <w:name w:val="Контр_ИНН"/>
                  <w:enabled/>
                  <w:calcOnExit w:val="0"/>
                  <w:textInput>
                    <w:default w:val="ИНН"/>
                  </w:textInput>
                </w:ffData>
              </w:fldChar>
            </w:r>
            <w:bookmarkStart w:id="50"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50"/>
            <w:r w:rsidRPr="003D409C">
              <w:rPr>
                <w:rFonts w:eastAsia="Times New Roman"/>
                <w:color w:val="auto"/>
              </w:rPr>
              <w:t>/</w:t>
            </w:r>
            <w:bookmarkStart w:id="51" w:name="4i7ojhp" w:colFirst="0" w:colLast="0"/>
            <w:bookmarkEnd w:id="51"/>
            <w:r w:rsidR="00050BAE" w:rsidRPr="003D409C">
              <w:rPr>
                <w:rFonts w:eastAsia="Times New Roman"/>
                <w:color w:val="auto"/>
              </w:rPr>
              <w:fldChar w:fldCharType="begin">
                <w:ffData>
                  <w:name w:val="Контр_КПП"/>
                  <w:enabled/>
                  <w:calcOnExit w:val="0"/>
                  <w:textInput>
                    <w:default w:val="КПП"/>
                  </w:textInput>
                </w:ffData>
              </w:fldChar>
            </w:r>
            <w:bookmarkStart w:id="52"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2"/>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3" w:name="2xcytpi" w:colFirst="0" w:colLast="0"/>
            <w:bookmarkEnd w:id="53"/>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4"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4"/>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5" w:name="1ci93xb" w:colFirst="0" w:colLast="0"/>
            <w:bookmarkEnd w:id="55"/>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6"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6"/>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7" w:name="3whwml4" w:colFirst="0" w:colLast="0"/>
            <w:bookmarkEnd w:id="57"/>
            <w:r w:rsidR="00050BAE" w:rsidRPr="003D409C">
              <w:rPr>
                <w:rFonts w:eastAsia="Times New Roman"/>
                <w:color w:val="auto"/>
              </w:rPr>
              <w:fldChar w:fldCharType="begin">
                <w:ffData>
                  <w:name w:val="КорСчет"/>
                  <w:enabled/>
                  <w:calcOnExit w:val="0"/>
                  <w:textInput>
                    <w:default w:val="КорСчет"/>
                  </w:textInput>
                </w:ffData>
              </w:fldChar>
            </w:r>
            <w:bookmarkStart w:id="58"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8"/>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59" w:name="2bn6wsx" w:colFirst="0" w:colLast="0"/>
            <w:bookmarkEnd w:id="59"/>
            <w:r w:rsidR="00050BAE" w:rsidRPr="003D409C">
              <w:rPr>
                <w:rFonts w:eastAsia="Times New Roman"/>
                <w:color w:val="auto"/>
              </w:rPr>
              <w:fldChar w:fldCharType="begin">
                <w:ffData>
                  <w:name w:val="БИК"/>
                  <w:enabled/>
                  <w:calcOnExit w:val="0"/>
                  <w:textInput>
                    <w:default w:val="БИК"/>
                  </w:textInput>
                </w:ffData>
              </w:fldChar>
            </w:r>
            <w:bookmarkStart w:id="60"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60"/>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1" w:name="qsh70q" w:colFirst="0" w:colLast="0"/>
            <w:bookmarkEnd w:id="61"/>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2"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2"/>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3" w:name="1pxezwc" w:colFirst="0" w:colLast="0"/>
            <w:bookmarkEnd w:id="63"/>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4"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4"/>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5"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5"/>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6"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6"/>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7" w:name="49x2ik5" w:colFirst="0" w:colLast="0"/>
            <w:bookmarkEnd w:id="67"/>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8"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8"/>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69"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6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70" w:name="2p2csry" w:colFirst="0" w:colLast="0"/>
            <w:bookmarkEnd w:id="70"/>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1"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1"/>
            <w:r w:rsidRPr="003D409C">
              <w:rPr>
                <w:rFonts w:eastAsia="Times New Roman"/>
                <w:color w:val="auto"/>
              </w:rPr>
              <w:t>/</w:t>
            </w:r>
          </w:p>
        </w:tc>
        <w:tc>
          <w:tcPr>
            <w:tcW w:w="5387" w:type="dxa"/>
          </w:tcPr>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45409</w:t>
            </w:r>
            <w:r w:rsidR="00044D8C" w:rsidRPr="00044D8C">
              <w:rPr>
                <w:rFonts w:eastAsia="Times New Roman"/>
              </w:rPr>
              <w:t>0</w:t>
            </w:r>
            <w:r w:rsidRPr="0078348F">
              <w:rPr>
                <w:rFonts w:eastAsia="Times New Roman"/>
              </w:rPr>
              <w:t xml:space="preserve">, г. Челябинск, </w:t>
            </w:r>
            <w:r>
              <w:rPr>
                <w:rFonts w:eastAsia="Times New Roman"/>
              </w:rPr>
              <w:br/>
            </w:r>
            <w:r w:rsidRPr="0078348F">
              <w:rPr>
                <w:rFonts w:eastAsia="Times New Roman"/>
              </w:rPr>
              <w:t>ул. Маркса, д. 38, оф. 201</w:t>
            </w:r>
          </w:p>
          <w:p w:rsidR="00044D8C" w:rsidRPr="00523286" w:rsidRDefault="0011011A" w:rsidP="00044D8C">
            <w:pPr>
              <w:widowControl/>
              <w:pBdr>
                <w:top w:val="nil"/>
                <w:left w:val="nil"/>
                <w:bottom w:val="nil"/>
                <w:right w:val="nil"/>
                <w:between w:val="nil"/>
              </w:pBdr>
              <w:rPr>
                <w:rFonts w:eastAsia="Times New Roman"/>
              </w:rPr>
            </w:pPr>
            <w:r w:rsidRPr="00523286">
              <w:rPr>
                <w:rFonts w:eastAsia="Times New Roman"/>
              </w:rPr>
              <w:t>Почтовый адрес:</w:t>
            </w:r>
            <w:r w:rsidR="00044D8C" w:rsidRPr="0078348F">
              <w:rPr>
                <w:rFonts w:eastAsia="Times New Roman"/>
              </w:rPr>
              <w:t xml:space="preserve"> </w:t>
            </w:r>
            <w:r w:rsidR="00044D8C" w:rsidRPr="0078348F">
              <w:rPr>
                <w:rFonts w:eastAsia="Times New Roman"/>
              </w:rPr>
              <w:t>45409</w:t>
            </w:r>
            <w:r w:rsidR="00044D8C" w:rsidRPr="00044D8C">
              <w:rPr>
                <w:rFonts w:eastAsia="Times New Roman"/>
              </w:rPr>
              <w:t>0</w:t>
            </w:r>
            <w:r w:rsidR="00044D8C" w:rsidRPr="0078348F">
              <w:rPr>
                <w:rFonts w:eastAsia="Times New Roman"/>
              </w:rPr>
              <w:t xml:space="preserve">, г. Челябинск, </w:t>
            </w:r>
            <w:r w:rsidR="00044D8C">
              <w:rPr>
                <w:rFonts w:eastAsia="Times New Roman"/>
              </w:rPr>
              <w:br/>
            </w:r>
            <w:r w:rsidR="00044D8C" w:rsidRPr="0078348F">
              <w:rPr>
                <w:rFonts w:eastAsia="Times New Roman"/>
              </w:rPr>
              <w:t>ул. Маркса, д. 38, оф. 201</w:t>
            </w:r>
          </w:p>
          <w:p w:rsidR="0011011A" w:rsidRPr="00523286" w:rsidRDefault="0011011A" w:rsidP="00044D8C">
            <w:pPr>
              <w:widowControl/>
              <w:tabs>
                <w:tab w:val="left" w:pos="425"/>
                <w:tab w:val="left" w:pos="567"/>
              </w:tabs>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ОКПО 36899476</w:t>
            </w:r>
          </w:p>
          <w:p w:rsidR="0011011A" w:rsidRDefault="0011011A" w:rsidP="0011011A">
            <w:pPr>
              <w:pBdr>
                <w:top w:val="nil"/>
                <w:left w:val="nil"/>
                <w:bottom w:val="nil"/>
                <w:right w:val="nil"/>
                <w:between w:val="nil"/>
              </w:pBdr>
              <w:ind w:left="33"/>
              <w:jc w:val="both"/>
              <w:rPr>
                <w:rFonts w:eastAsia="Times New Roman"/>
              </w:rPr>
            </w:pPr>
            <w:r w:rsidRPr="00AB1519">
              <w:rPr>
                <w:rFonts w:eastAsia="Times New Roman"/>
              </w:rPr>
              <w:t>ОГРН 1157456004683</w:t>
            </w:r>
          </w:p>
          <w:p w:rsidR="00044D8C" w:rsidRPr="00044D8C" w:rsidRDefault="00044D8C" w:rsidP="00044D8C">
            <w:pPr>
              <w:widowControl/>
              <w:rPr>
                <w:rFonts w:eastAsia="Times New Roman"/>
                <w:color w:val="auto"/>
                <w:lang w:eastAsia="en-US"/>
              </w:rPr>
            </w:pPr>
            <w:r w:rsidRPr="00044D8C">
              <w:rPr>
                <w:rFonts w:eastAsia="Times New Roman"/>
                <w:color w:val="auto"/>
                <w:lang w:eastAsia="en-US"/>
              </w:rPr>
              <w:t>Расчетный счет 40702810009800000595</w:t>
            </w:r>
          </w:p>
          <w:p w:rsidR="00044D8C" w:rsidRPr="00044D8C" w:rsidRDefault="00044D8C" w:rsidP="00044D8C">
            <w:pPr>
              <w:widowControl/>
              <w:jc w:val="both"/>
              <w:rPr>
                <w:rFonts w:eastAsia="Times New Roman"/>
                <w:color w:val="auto"/>
                <w:lang w:eastAsia="en-US"/>
              </w:rPr>
            </w:pPr>
            <w:r w:rsidRPr="00044D8C">
              <w:rPr>
                <w:rFonts w:eastAsia="Times New Roman"/>
                <w:color w:val="auto"/>
                <w:lang w:eastAsia="en-US"/>
              </w:rPr>
              <w:t>ФИЛИАЛ «ЦЕНТРАЛЬНЫЙ» БАНКА ВТБ (ПАО) В Г. МОСКВЕ</w:t>
            </w:r>
          </w:p>
          <w:p w:rsidR="00044D8C" w:rsidRPr="00044D8C" w:rsidRDefault="00044D8C" w:rsidP="00044D8C">
            <w:pPr>
              <w:widowControl/>
              <w:jc w:val="both"/>
              <w:rPr>
                <w:rFonts w:eastAsia="Times New Roman"/>
                <w:color w:val="auto"/>
                <w:lang w:eastAsia="en-US"/>
              </w:rPr>
            </w:pPr>
            <w:r w:rsidRPr="00044D8C">
              <w:rPr>
                <w:rFonts w:eastAsia="Times New Roman"/>
                <w:color w:val="auto"/>
                <w:lang w:eastAsia="en-US"/>
              </w:rPr>
              <w:t>БИК 044525411, корреспондентский</w:t>
            </w:r>
          </w:p>
          <w:p w:rsidR="00044D8C" w:rsidRPr="00044D8C" w:rsidRDefault="00044D8C" w:rsidP="00044D8C">
            <w:pPr>
              <w:widowControl/>
              <w:rPr>
                <w:rFonts w:eastAsia="Times New Roman"/>
                <w:color w:val="auto"/>
                <w:lang w:eastAsia="en-US"/>
              </w:rPr>
            </w:pPr>
            <w:r w:rsidRPr="00044D8C">
              <w:rPr>
                <w:rFonts w:eastAsia="Times New Roman"/>
                <w:color w:val="auto"/>
                <w:lang w:eastAsia="en-US"/>
              </w:rPr>
              <w:t>счет 30101810145250000411 в Главном управлении Банка России по Центральному федеральному округу г. Москва</w:t>
            </w:r>
          </w:p>
          <w:p w:rsidR="0011011A" w:rsidRPr="00C44099" w:rsidRDefault="0011011A" w:rsidP="0011011A">
            <w:pPr>
              <w:rPr>
                <w:rFonts w:eastAsia="Times New Roman"/>
              </w:rPr>
            </w:pPr>
            <w:bookmarkStart w:id="72" w:name="_GoBack"/>
            <w:bookmarkEnd w:id="72"/>
            <w:proofErr w:type="spellStart"/>
            <w:r w:rsidRPr="00523286">
              <w:rPr>
                <w:rFonts w:eastAsia="Times New Roman"/>
              </w:rPr>
              <w:t>Эл.почта</w:t>
            </w:r>
            <w:proofErr w:type="spellEnd"/>
            <w:r w:rsidRPr="00523286">
              <w:rPr>
                <w:rFonts w:eastAsia="Times New Roman"/>
              </w:rPr>
              <w:t xml:space="preserve">: </w:t>
            </w:r>
            <w:hyperlink r:id="rId13">
              <w:r w:rsidRPr="00C44099">
                <w:rPr>
                  <w:rFonts w:eastAsia="Times New Roman"/>
                </w:rPr>
                <w:t>info@cks174.ru</w:t>
              </w:r>
            </w:hyperlink>
          </w:p>
          <w:p w:rsidR="00E94034" w:rsidRPr="003D409C" w:rsidRDefault="0011011A" w:rsidP="0011011A">
            <w:pPr>
              <w:rPr>
                <w:rFonts w:eastAsia="Times New Roman"/>
                <w:color w:val="auto"/>
              </w:rPr>
            </w:pPr>
            <w:r>
              <w:rPr>
                <w:rFonts w:eastAsia="Times New Roman"/>
              </w:rPr>
              <w:t xml:space="preserve">Тел: </w:t>
            </w:r>
            <w:r>
              <w:t>8 (351) 200-33-83</w:t>
            </w:r>
          </w:p>
          <w:p w:rsidR="00E94034" w:rsidRPr="003D409C" w:rsidRDefault="00354FBF" w:rsidP="009F44D8">
            <w:pPr>
              <w:widowControl/>
              <w:tabs>
                <w:tab w:val="left" w:pos="425"/>
                <w:tab w:val="left" w:pos="567"/>
              </w:tabs>
              <w:rPr>
                <w:color w:val="auto"/>
              </w:rPr>
            </w:pPr>
            <w:r w:rsidRPr="003D409C">
              <w:rPr>
                <w:color w:val="auto"/>
              </w:rPr>
              <w:t>__________________/</w:t>
            </w:r>
            <w:bookmarkStart w:id="73" w:name="147n2zr" w:colFirst="0" w:colLast="0"/>
            <w:bookmarkEnd w:id="73"/>
            <w:r w:rsidR="00050BAE" w:rsidRPr="003D409C">
              <w:rPr>
                <w:rFonts w:eastAsia="Times New Roman"/>
                <w:color w:val="auto"/>
              </w:rPr>
              <w:fldChar w:fldCharType="begin">
                <w:ffData>
                  <w:name w:val="Лицо_Сокр"/>
                  <w:enabled/>
                  <w:calcOnExit w:val="0"/>
                  <w:textInput>
                    <w:default w:val="Лицо_Сокр"/>
                  </w:textInput>
                </w:ffData>
              </w:fldChar>
            </w:r>
            <w:bookmarkStart w:id="74"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4"/>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5"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5"/>
      <w:r w:rsidRPr="003D409C">
        <w:rPr>
          <w:rFonts w:eastAsia="Times New Roman"/>
          <w:color w:val="auto"/>
        </w:rPr>
        <w:t xml:space="preserve"> </w:t>
      </w:r>
      <w:bookmarkStart w:id="76" w:name="23ckvvd" w:colFirst="0" w:colLast="0"/>
      <w:bookmarkEnd w:id="76"/>
      <w:r w:rsidRPr="003D409C">
        <w:rPr>
          <w:rFonts w:eastAsia="Times New Roman"/>
          <w:color w:val="auto"/>
        </w:rPr>
        <w:t xml:space="preserve">от </w:t>
      </w:r>
      <w:bookmarkStart w:id="77" w:name="ihv636" w:colFirst="0" w:colLast="0"/>
      <w:bookmarkEnd w:id="77"/>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78"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78"/>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79" w:name="32hioqz" w:colFirst="0" w:colLast="0"/>
      <w:bookmarkEnd w:id="79"/>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80"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80"/>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1"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1"/>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2" w:name="2grqrue" w:colFirst="0" w:colLast="0"/>
      <w:bookmarkEnd w:id="82"/>
      <w:r w:rsidRPr="003D409C">
        <w:rPr>
          <w:rFonts w:eastAsia="Times New Roman"/>
          <w:color w:val="auto"/>
        </w:rPr>
        <w:fldChar w:fldCharType="begin">
          <w:ffData>
            <w:name w:val="НомерДоп2"/>
            <w:enabled/>
            <w:calcOnExit w:val="0"/>
            <w:textInput>
              <w:default w:val="НомерДоп2"/>
            </w:textInput>
          </w:ffData>
        </w:fldChar>
      </w:r>
      <w:bookmarkStart w:id="83"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3"/>
      <w:r w:rsidRPr="003D409C">
        <w:rPr>
          <w:rFonts w:eastAsia="Times New Roman"/>
          <w:color w:val="auto"/>
        </w:rPr>
        <w:t xml:space="preserve"> от </w:t>
      </w:r>
      <w:bookmarkStart w:id="84" w:name="vx1227" w:colFirst="0" w:colLast="0"/>
      <w:bookmarkEnd w:id="84"/>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5"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5"/>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6"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6"/>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87"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87"/>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88" w:name="4f1mdlm" w:colFirst="0" w:colLast="0"/>
      <w:bookmarkEnd w:id="88"/>
      <w:r w:rsidRPr="003D409C">
        <w:rPr>
          <w:rFonts w:eastAsia="Times New Roman"/>
          <w:color w:val="auto"/>
        </w:rPr>
        <w:fldChar w:fldCharType="begin">
          <w:ffData>
            <w:name w:val="НомерДоп3"/>
            <w:enabled/>
            <w:calcOnExit w:val="0"/>
            <w:textInput>
              <w:default w:val="НомерДоп3"/>
            </w:textInput>
          </w:ffData>
        </w:fldChar>
      </w:r>
      <w:bookmarkStart w:id="89"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89"/>
      <w:r w:rsidRPr="003D409C">
        <w:rPr>
          <w:rFonts w:eastAsia="Times New Roman"/>
          <w:b/>
          <w:color w:val="auto"/>
        </w:rPr>
        <w:t xml:space="preserve"> </w:t>
      </w:r>
      <w:r w:rsidRPr="003D409C">
        <w:rPr>
          <w:rFonts w:eastAsia="Times New Roman"/>
          <w:color w:val="auto"/>
        </w:rPr>
        <w:t xml:space="preserve">от </w:t>
      </w:r>
      <w:bookmarkStart w:id="90" w:name="2u6wntf" w:colFirst="0" w:colLast="0"/>
      <w:bookmarkEnd w:id="90"/>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1"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1"/>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2"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2"/>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20"/>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DB" w:rsidRDefault="002E04DB">
      <w:r>
        <w:separator/>
      </w:r>
    </w:p>
  </w:endnote>
  <w:endnote w:type="continuationSeparator" w:id="0">
    <w:p w:rsidR="002E04DB" w:rsidRDefault="002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DB" w:rsidRDefault="002E04DB">
      <w:r>
        <w:separator/>
      </w:r>
    </w:p>
  </w:footnote>
  <w:footnote w:type="continuationSeparator" w:id="0">
    <w:p w:rsidR="002E04DB" w:rsidRDefault="002E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44D8C"/>
    <w:rsid w:val="00050BAE"/>
    <w:rsid w:val="00054053"/>
    <w:rsid w:val="000609D0"/>
    <w:rsid w:val="000850F6"/>
    <w:rsid w:val="000857F2"/>
    <w:rsid w:val="0008681E"/>
    <w:rsid w:val="000942EB"/>
    <w:rsid w:val="00094B6A"/>
    <w:rsid w:val="000C184B"/>
    <w:rsid w:val="000C1D6B"/>
    <w:rsid w:val="000C70BE"/>
    <w:rsid w:val="000D3F30"/>
    <w:rsid w:val="0011011A"/>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2E04DB"/>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7146B"/>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12A39"/>
    <w:rsid w:val="00727805"/>
    <w:rsid w:val="00740197"/>
    <w:rsid w:val="0075034E"/>
    <w:rsid w:val="00751493"/>
    <w:rsid w:val="00754D25"/>
    <w:rsid w:val="00757E3A"/>
    <w:rsid w:val="0077470C"/>
    <w:rsid w:val="007A09B1"/>
    <w:rsid w:val="007A354D"/>
    <w:rsid w:val="007B30DE"/>
    <w:rsid w:val="007D0DCD"/>
    <w:rsid w:val="007D7D1F"/>
    <w:rsid w:val="007E10BF"/>
    <w:rsid w:val="00802D7B"/>
    <w:rsid w:val="00802F88"/>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6CF8"/>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31F30"/>
    <w:rsid w:val="00C3473D"/>
    <w:rsid w:val="00C40F3F"/>
    <w:rsid w:val="00C437BB"/>
    <w:rsid w:val="00C5241D"/>
    <w:rsid w:val="00C61E41"/>
    <w:rsid w:val="00C6780D"/>
    <w:rsid w:val="00C72F35"/>
    <w:rsid w:val="00C87AE0"/>
    <w:rsid w:val="00C87E94"/>
    <w:rsid w:val="00C9549C"/>
    <w:rsid w:val="00CA775B"/>
    <w:rsid w:val="00CB5FD8"/>
    <w:rsid w:val="00CB61FB"/>
    <w:rsid w:val="00CC3344"/>
    <w:rsid w:val="00CF2BAB"/>
    <w:rsid w:val="00D03421"/>
    <w:rsid w:val="00D03D3E"/>
    <w:rsid w:val="00D153ED"/>
    <w:rsid w:val="00D25F80"/>
    <w:rsid w:val="00D37275"/>
    <w:rsid w:val="00D376D8"/>
    <w:rsid w:val="00D4693B"/>
    <w:rsid w:val="00D64AF3"/>
    <w:rsid w:val="00D70999"/>
    <w:rsid w:val="00D816B4"/>
    <w:rsid w:val="00D9195C"/>
    <w:rsid w:val="00DD53B4"/>
    <w:rsid w:val="00DE57F2"/>
    <w:rsid w:val="00DF3EFC"/>
    <w:rsid w:val="00E017D7"/>
    <w:rsid w:val="00E06F82"/>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57018"/>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yperlink" Target="mailto:info@cks174.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eco174.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9079-4A2C-420C-9591-3F38C1E6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Бородатова Наталья Владимировна</cp:lastModifiedBy>
  <cp:revision>13</cp:revision>
  <cp:lastPrinted>2018-12-12T07:08:00Z</cp:lastPrinted>
  <dcterms:created xsi:type="dcterms:W3CDTF">2020-01-03T16:02:00Z</dcterms:created>
  <dcterms:modified xsi:type="dcterms:W3CDTF">2021-02-12T10:00:00Z</dcterms:modified>
</cp:coreProperties>
</file>